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8" w:rsidRPr="00163B23" w:rsidRDefault="00163B23" w:rsidP="00163B23">
      <w:pPr>
        <w:pStyle w:val="2"/>
      </w:pPr>
      <w:r w:rsidRPr="00163B23">
        <w:t>ZARZĄDZENIE NR 52/2024</w:t>
      </w:r>
    </w:p>
    <w:p w:rsidR="006F42F8" w:rsidRPr="00163B23" w:rsidRDefault="00163B23" w:rsidP="00163B23">
      <w:pPr>
        <w:pStyle w:val="2"/>
      </w:pPr>
      <w:r w:rsidRPr="00163B23">
        <w:t>BURMISTRZA MIASTA BRANIEWA</w:t>
      </w:r>
    </w:p>
    <w:p w:rsidR="006F42F8" w:rsidRPr="00163B23" w:rsidRDefault="00163B23" w:rsidP="00163B23">
      <w:pPr>
        <w:pStyle w:val="2"/>
      </w:pPr>
      <w:r w:rsidRPr="00163B23">
        <w:t>z dnia 19 kwietnia 2024  r.</w:t>
      </w:r>
    </w:p>
    <w:p w:rsidR="006F42F8" w:rsidRPr="00163B23" w:rsidRDefault="006F42F8" w:rsidP="00163B23">
      <w:pPr>
        <w:spacing w:after="240" w:line="360" w:lineRule="auto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pStyle w:val="3"/>
      </w:pPr>
      <w:r w:rsidRPr="00163B23">
        <w:t>w sprawie aktualizacji podstawowej kwoty dotacji dla przedszkoli prowadzonych przez Gminę Miasta Braniewa oraz aktualizacji miesięcznej kwoty dotacji prze</w:t>
      </w:r>
      <w:r w:rsidRPr="00163B23">
        <w:t>d</w:t>
      </w:r>
      <w:r w:rsidRPr="00163B23">
        <w:t>szkoli niepublicznych</w:t>
      </w:r>
      <w:r w:rsidRPr="00163B23">
        <w:t xml:space="preserve"> oraz niepublicznego punktu przedszkolnego w 2024 roku, dla których Gmina Miasta Braniewa jest organem rejestrującym</w:t>
      </w:r>
    </w:p>
    <w:p w:rsidR="006F42F8" w:rsidRPr="00163B23" w:rsidRDefault="006F42F8" w:rsidP="00163B23">
      <w:pPr>
        <w:spacing w:after="240" w:line="360" w:lineRule="auto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ab/>
        <w:t xml:space="preserve">Na podstawie art. 30 ust. 1 ustawy z dnia 8 marca 1990 r. o samorządzie gminnym (Dz. U.      z 2023 r. poz. 40 z </w:t>
      </w:r>
      <w:proofErr w:type="spellStart"/>
      <w:r w:rsidRPr="00163B23">
        <w:rPr>
          <w:rFonts w:asciiTheme="minorHAnsi" w:hAnsiTheme="minorHAnsi" w:cstheme="minorHAnsi"/>
        </w:rPr>
        <w:t>późn</w:t>
      </w:r>
      <w:proofErr w:type="spellEnd"/>
      <w:r w:rsidRPr="00163B23">
        <w:rPr>
          <w:rFonts w:asciiTheme="minorHAnsi" w:hAnsiTheme="minorHAnsi" w:cstheme="minorHAnsi"/>
        </w:rPr>
        <w:t>. zm.) oraz art. 12,</w:t>
      </w:r>
      <w:r w:rsidRPr="00163B23">
        <w:rPr>
          <w:rFonts w:asciiTheme="minorHAnsi" w:hAnsiTheme="minorHAnsi" w:cstheme="minorHAnsi"/>
        </w:rPr>
        <w:t xml:space="preserve"> art. 44 ust. 1 </w:t>
      </w:r>
      <w:proofErr w:type="spellStart"/>
      <w:r w:rsidRPr="00163B23">
        <w:rPr>
          <w:rFonts w:asciiTheme="minorHAnsi" w:hAnsiTheme="minorHAnsi" w:cstheme="minorHAnsi"/>
        </w:rPr>
        <w:t>pkt</w:t>
      </w:r>
      <w:proofErr w:type="spellEnd"/>
      <w:r w:rsidRPr="00163B23">
        <w:rPr>
          <w:rFonts w:asciiTheme="minorHAnsi" w:hAnsiTheme="minorHAnsi" w:cstheme="minorHAnsi"/>
        </w:rPr>
        <w:t xml:space="preserve"> 1 ustawy z dnia 27 października 2017 roku o finansowaniu zadań oświatowych (Dz. U. z 2023 r. poz. 1400 z </w:t>
      </w:r>
      <w:proofErr w:type="spellStart"/>
      <w:r w:rsidRPr="00163B23">
        <w:rPr>
          <w:rFonts w:asciiTheme="minorHAnsi" w:hAnsiTheme="minorHAnsi" w:cstheme="minorHAnsi"/>
        </w:rPr>
        <w:t>późn</w:t>
      </w:r>
      <w:proofErr w:type="spellEnd"/>
      <w:r w:rsidRPr="00163B23">
        <w:rPr>
          <w:rFonts w:asciiTheme="minorHAnsi" w:hAnsiTheme="minorHAnsi" w:cstheme="minorHAnsi"/>
        </w:rPr>
        <w:t>. zm.) w związku z § 3 Uchwały</w:t>
      </w:r>
      <w:bookmarkStart w:id="0" w:name="72397FA1-F50C-4063-901D-9B1C0C70E558"/>
      <w:bookmarkStart w:id="1" w:name="8F3B4330-1071-4635-836A-55A2938A2BEB"/>
      <w:bookmarkEnd w:id="0"/>
      <w:bookmarkEnd w:id="1"/>
      <w:r w:rsidRPr="00163B23">
        <w:rPr>
          <w:rFonts w:asciiTheme="minorHAnsi" w:hAnsiTheme="minorHAnsi" w:cstheme="minorHAnsi"/>
        </w:rPr>
        <w:t xml:space="preserve"> Nr XXXIX/274/18 Rady Miejskiej w Braniewie z dnia 3 stycznia 2018 r. w sprawie ustalenia trybu u</w:t>
      </w:r>
      <w:r w:rsidRPr="00163B23">
        <w:rPr>
          <w:rFonts w:asciiTheme="minorHAnsi" w:hAnsiTheme="minorHAnsi" w:cstheme="minorHAnsi"/>
        </w:rPr>
        <w:t xml:space="preserve">dzielania i rozliczania dotacji dla publicznych i niepublicznych jednostek oświatowych dla których Gmina Miasto Braniewo jest organem rejestrującym (Dz. Urz. Woj. </w:t>
      </w:r>
      <w:proofErr w:type="spellStart"/>
      <w:r w:rsidRPr="00163B23">
        <w:rPr>
          <w:rFonts w:asciiTheme="minorHAnsi" w:hAnsiTheme="minorHAnsi" w:cstheme="minorHAnsi"/>
        </w:rPr>
        <w:t>Warm</w:t>
      </w:r>
      <w:proofErr w:type="spellEnd"/>
      <w:r w:rsidRPr="00163B23">
        <w:rPr>
          <w:rFonts w:asciiTheme="minorHAnsi" w:hAnsiTheme="minorHAnsi" w:cstheme="minorHAnsi"/>
        </w:rPr>
        <w:t xml:space="preserve">.- </w:t>
      </w:r>
      <w:proofErr w:type="spellStart"/>
      <w:r w:rsidRPr="00163B23">
        <w:rPr>
          <w:rFonts w:asciiTheme="minorHAnsi" w:hAnsiTheme="minorHAnsi" w:cstheme="minorHAnsi"/>
        </w:rPr>
        <w:t>Maz</w:t>
      </w:r>
      <w:proofErr w:type="spellEnd"/>
      <w:r w:rsidRPr="00163B23">
        <w:rPr>
          <w:rFonts w:asciiTheme="minorHAnsi" w:hAnsiTheme="minorHAnsi" w:cstheme="minorHAnsi"/>
        </w:rPr>
        <w:t>. z 2018 r. poz. 168) zarządzam, co następuje: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§ 1. W wyniku aktualizacji ustalam n</w:t>
      </w:r>
      <w:r w:rsidRPr="00163B23">
        <w:rPr>
          <w:rFonts w:asciiTheme="minorHAnsi" w:hAnsiTheme="minorHAnsi" w:cstheme="minorHAnsi"/>
        </w:rPr>
        <w:t xml:space="preserve">a rok 2024 podstawową kwotę dotacji dla przedszkoli prowadzonych przez Gminę Miasta Braniewa w wysokości </w:t>
      </w:r>
      <w:r w:rsidRPr="00163B23">
        <w:rPr>
          <w:rFonts w:asciiTheme="minorHAnsi" w:hAnsiTheme="minorHAnsi" w:cstheme="minorHAnsi"/>
          <w:b/>
          <w:bCs/>
        </w:rPr>
        <w:t xml:space="preserve">1620,52 zł </w:t>
      </w:r>
      <w:r w:rsidRPr="00163B23">
        <w:rPr>
          <w:rFonts w:asciiTheme="minorHAnsi" w:hAnsiTheme="minorHAnsi" w:cstheme="minorHAnsi"/>
        </w:rPr>
        <w:t>miesięcznie, wyliczoną zgodnie z załącznikiem do niniejszego zarządzenia.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§ 2. 1. W wyniku aktualizacji podstawowej kwoty dotacji ustalam na</w:t>
      </w:r>
      <w:r w:rsidRPr="00163B23">
        <w:rPr>
          <w:rFonts w:asciiTheme="minorHAnsi" w:hAnsiTheme="minorHAnsi" w:cstheme="minorHAnsi"/>
        </w:rPr>
        <w:t xml:space="preserve"> 2024 rok wysokość dotacji               na  jedno dziecko dla niepublicznych przedszkoli, dla których Gmina Miasta Braniewa jest organem rejestrującym w kwocie </w:t>
      </w:r>
      <w:r w:rsidRPr="00163B23">
        <w:rPr>
          <w:rFonts w:asciiTheme="minorHAnsi" w:hAnsiTheme="minorHAnsi" w:cstheme="minorHAnsi"/>
          <w:b/>
          <w:bCs/>
        </w:rPr>
        <w:t>1 215,39 zł</w:t>
      </w:r>
      <w:r w:rsidRPr="00163B23">
        <w:rPr>
          <w:rFonts w:asciiTheme="minorHAnsi" w:hAnsiTheme="minorHAnsi" w:cstheme="minorHAnsi"/>
        </w:rPr>
        <w:t xml:space="preserve"> miesięcznie, </w:t>
      </w:r>
      <w:bookmarkStart w:id="2" w:name="_Hlk164234601"/>
      <w:r w:rsidRPr="00163B23">
        <w:rPr>
          <w:rFonts w:asciiTheme="minorHAnsi" w:hAnsiTheme="minorHAnsi" w:cstheme="minorHAnsi"/>
        </w:rPr>
        <w:t>wyliczoną zgodnie z załącznikiem do niniejszego zarządzenia.</w:t>
      </w:r>
    </w:p>
    <w:bookmarkEnd w:id="2"/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2. W wyni</w:t>
      </w:r>
      <w:r w:rsidRPr="00163B23">
        <w:rPr>
          <w:rFonts w:asciiTheme="minorHAnsi" w:hAnsiTheme="minorHAnsi" w:cstheme="minorHAnsi"/>
        </w:rPr>
        <w:t xml:space="preserve">ku aktualizacji podstawowej kwoty dotacji ustalam na 2024 rok wysokość dotacji na jedno dziecko dla niepublicznego punktu przedszkolnego, dla którego Gmina Miasta Braniewa jest organem rejestrującym w kwocie </w:t>
      </w:r>
      <w:r w:rsidRPr="00163B23">
        <w:rPr>
          <w:rFonts w:asciiTheme="minorHAnsi" w:hAnsiTheme="minorHAnsi" w:cstheme="minorHAnsi"/>
          <w:b/>
          <w:bCs/>
        </w:rPr>
        <w:t>648,21 zł</w:t>
      </w:r>
      <w:r w:rsidRPr="00163B23">
        <w:rPr>
          <w:rFonts w:asciiTheme="minorHAnsi" w:hAnsiTheme="minorHAnsi" w:cstheme="minorHAnsi"/>
        </w:rPr>
        <w:t xml:space="preserve"> miesięcznie, wyliczoną zgodnie z załąc</w:t>
      </w:r>
      <w:r w:rsidRPr="00163B23">
        <w:rPr>
          <w:rFonts w:asciiTheme="minorHAnsi" w:hAnsiTheme="minorHAnsi" w:cstheme="minorHAnsi"/>
        </w:rPr>
        <w:t>znikiem                   do niniejszego zarządzenia.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lastRenderedPageBreak/>
        <w:t xml:space="preserve">§ 3. Zarządzenie podaje się do publicznej wiadomości w sposób zwyczajowo przyjęty. 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§ 4. Zarządzenie wchodzi w życie z dniem podpisania.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  <w:t>Burmistrz Miasta Braniewa Tomasz Sielicki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ab/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63B23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ab/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lastRenderedPageBreak/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  <w:t>Z</w:t>
      </w:r>
      <w:r w:rsidRPr="00163B23">
        <w:rPr>
          <w:rFonts w:asciiTheme="minorHAnsi" w:hAnsiTheme="minorHAnsi" w:cstheme="minorHAnsi"/>
        </w:rPr>
        <w:t>ałącznik do Zarządzenia Nr …/2024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  <w:t>Burmistrza Miasta Braniewa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</w:r>
      <w:r w:rsidRPr="00163B23">
        <w:rPr>
          <w:rFonts w:asciiTheme="minorHAnsi" w:hAnsiTheme="minorHAnsi" w:cstheme="minorHAnsi"/>
        </w:rPr>
        <w:tab/>
        <w:t>z dnia  …..kwietnia 2024 r.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Wyliczenie kwoty podstawowej kwoty dotacji dla przedszkoli prowadzonych przez Gminę Miasta Braniewa oraz aktualizacji miesięcznej kwoty dotacji przedszk</w:t>
      </w:r>
      <w:r w:rsidRPr="00163B23">
        <w:rPr>
          <w:rFonts w:asciiTheme="minorHAnsi" w:hAnsiTheme="minorHAnsi" w:cstheme="minorHAnsi"/>
        </w:rPr>
        <w:t>oli niepublicznych oraz niepublicznego punktu przedszkolnego w 2024 roku, dla których Gmina Miasta Braniewa jest organem rejestrującym</w:t>
      </w:r>
    </w:p>
    <w:p w:rsidR="006F42F8" w:rsidRPr="00163B23" w:rsidRDefault="006F42F8" w:rsidP="00163B23">
      <w:pPr>
        <w:spacing w:after="240" w:line="360" w:lineRule="auto"/>
        <w:jc w:val="center"/>
        <w:rPr>
          <w:rFonts w:asciiTheme="minorHAnsi" w:hAnsiTheme="minorHAnsi" w:cstheme="minorHAnsi"/>
        </w:rPr>
      </w:pPr>
    </w:p>
    <w:p w:rsidR="006F42F8" w:rsidRPr="00163B23" w:rsidRDefault="006F42F8" w:rsidP="00163B23">
      <w:pPr>
        <w:spacing w:after="240" w:line="360" w:lineRule="auto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I. Planowane wydatki: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1. Wydatki bieżące na przedszkola w rozdziałach 80104, 80146, 80149, 80195: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- Przedszkole </w:t>
      </w:r>
      <w:r w:rsidRPr="00163B23">
        <w:rPr>
          <w:rFonts w:asciiTheme="minorHAnsi" w:hAnsiTheme="minorHAnsi" w:cstheme="minorHAnsi"/>
        </w:rPr>
        <w:t>Miejskie Nr 2</w:t>
      </w:r>
      <w:r w:rsidRPr="00163B23">
        <w:rPr>
          <w:rFonts w:asciiTheme="minorHAnsi" w:hAnsiTheme="minorHAnsi" w:cstheme="minorHAnsi"/>
          <w:b/>
          <w:bCs/>
        </w:rPr>
        <w:t xml:space="preserve">: </w:t>
      </w:r>
      <w:r w:rsidRPr="00163B23">
        <w:rPr>
          <w:rFonts w:asciiTheme="minorHAnsi" w:hAnsiTheme="minorHAnsi" w:cstheme="minorHAnsi"/>
          <w:bCs/>
        </w:rPr>
        <w:t>2 962 394 zł – 22 500 zł</w:t>
      </w:r>
      <w:r w:rsidRPr="00163B23">
        <w:rPr>
          <w:rFonts w:asciiTheme="minorHAnsi" w:hAnsiTheme="minorHAnsi" w:cstheme="minorHAnsi"/>
          <w:b/>
          <w:bCs/>
        </w:rPr>
        <w:t xml:space="preserve"> ( </w:t>
      </w:r>
      <w:r w:rsidRPr="00163B23">
        <w:rPr>
          <w:rFonts w:asciiTheme="minorHAnsi" w:hAnsiTheme="minorHAnsi" w:cstheme="minorHAnsi"/>
          <w:bCs/>
        </w:rPr>
        <w:t>odjęto wydatki  za</w:t>
      </w:r>
      <w:r w:rsidRPr="00163B23">
        <w:rPr>
          <w:rFonts w:asciiTheme="minorHAnsi" w:hAnsiTheme="minorHAnsi" w:cstheme="minorHAnsi"/>
          <w:b/>
          <w:bCs/>
        </w:rPr>
        <w:t xml:space="preserve"> </w:t>
      </w:r>
      <w:r w:rsidRPr="00163B23">
        <w:rPr>
          <w:rFonts w:asciiTheme="minorHAnsi" w:hAnsiTheme="minorHAnsi" w:cstheme="minorHAnsi"/>
          <w:bCs/>
        </w:rPr>
        <w:t>energię cieplną i wodę niedotyczące wydatków bieżących przedszkola (lokale mieszkaniowe</w:t>
      </w:r>
      <w:r w:rsidRPr="00163B23">
        <w:rPr>
          <w:rFonts w:asciiTheme="minorHAnsi" w:hAnsiTheme="minorHAnsi" w:cstheme="minorHAnsi"/>
          <w:b/>
          <w:bCs/>
        </w:rPr>
        <w:t>) = 2 939 894 zł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- Przedszkole Miejskie Nr 4: 1 796 837 zł – 16 650 zł (odjęto wydatki za energie elektryczn</w:t>
      </w:r>
      <w:r w:rsidRPr="00163B23">
        <w:rPr>
          <w:rFonts w:asciiTheme="minorHAnsi" w:hAnsiTheme="minorHAnsi" w:cstheme="minorHAnsi"/>
        </w:rPr>
        <w:t xml:space="preserve">ą, telefon i </w:t>
      </w:r>
      <w:proofErr w:type="spellStart"/>
      <w:r w:rsidRPr="00163B23">
        <w:rPr>
          <w:rFonts w:asciiTheme="minorHAnsi" w:hAnsiTheme="minorHAnsi" w:cstheme="minorHAnsi"/>
        </w:rPr>
        <w:t>internet</w:t>
      </w:r>
      <w:proofErr w:type="spellEnd"/>
      <w:r w:rsidRPr="00163B23">
        <w:rPr>
          <w:rFonts w:asciiTheme="minorHAnsi" w:hAnsiTheme="minorHAnsi" w:cstheme="minorHAnsi"/>
        </w:rPr>
        <w:t xml:space="preserve"> Żłobka Miejskiego) = </w:t>
      </w:r>
      <w:r w:rsidRPr="00163B23">
        <w:rPr>
          <w:rFonts w:asciiTheme="minorHAnsi" w:hAnsiTheme="minorHAnsi" w:cstheme="minorHAnsi"/>
          <w:b/>
          <w:bCs/>
        </w:rPr>
        <w:t>1 780 187,00 zł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2. Wydatki na obsługę przedszkoli w ramach Centrum Usług Wspólnych: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- wydatki bieżące CUW: 1 494 854,00 zł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- wyliczenie kosztów CUW na przedszkola: wskaźnik % budżetu CUW w stosunku do budżetów bie</w:t>
      </w:r>
      <w:r w:rsidRPr="00163B23">
        <w:rPr>
          <w:rFonts w:asciiTheme="minorHAnsi" w:hAnsiTheme="minorHAnsi" w:cstheme="minorHAnsi"/>
        </w:rPr>
        <w:t>żących wszystkich obsługiwanych jednostek: 1 494 854,00 zł /29 781 153,85 zł x 100% = 5,02%.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1 494 854,00 zł x 5,02% x 2 (PM 2 i PM 4) = </w:t>
      </w:r>
      <w:r w:rsidRPr="00163B23">
        <w:rPr>
          <w:rFonts w:asciiTheme="minorHAnsi" w:hAnsiTheme="minorHAnsi" w:cstheme="minorHAnsi"/>
          <w:b/>
          <w:bCs/>
        </w:rPr>
        <w:t>150 083,34 zł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3. Razem wydatki:</w:t>
      </w:r>
      <w:r w:rsidRPr="00163B23">
        <w:rPr>
          <w:rFonts w:asciiTheme="minorHAnsi" w:hAnsiTheme="minorHAnsi" w:cstheme="minorHAnsi"/>
          <w:b/>
          <w:bCs/>
        </w:rPr>
        <w:t xml:space="preserve"> </w:t>
      </w:r>
      <w:bookmarkStart w:id="3" w:name="_Hlk124508093"/>
      <w:r w:rsidRPr="00163B23">
        <w:rPr>
          <w:rFonts w:asciiTheme="minorHAnsi" w:hAnsiTheme="minorHAnsi" w:cstheme="minorHAnsi"/>
          <w:b/>
          <w:bCs/>
        </w:rPr>
        <w:t>4 </w:t>
      </w:r>
      <w:bookmarkEnd w:id="3"/>
      <w:r w:rsidRPr="00163B23">
        <w:rPr>
          <w:rFonts w:asciiTheme="minorHAnsi" w:hAnsiTheme="minorHAnsi" w:cstheme="minorHAnsi"/>
          <w:b/>
          <w:bCs/>
        </w:rPr>
        <w:t>870 164,34 zł.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II. Planowane dochody </w:t>
      </w:r>
      <w:bookmarkStart w:id="4" w:name="_Hlk164070868"/>
      <w:r w:rsidRPr="00163B23">
        <w:rPr>
          <w:rFonts w:asciiTheme="minorHAnsi" w:hAnsiTheme="minorHAnsi" w:cstheme="minorHAnsi"/>
        </w:rPr>
        <w:t>(stan na 31.03.2024 r.)</w:t>
      </w:r>
      <w:bookmarkEnd w:id="4"/>
      <w:r w:rsidRPr="00163B23">
        <w:rPr>
          <w:rFonts w:asciiTheme="minorHAnsi" w:hAnsiTheme="minorHAnsi" w:cstheme="minorHAnsi"/>
        </w:rPr>
        <w:t>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lastRenderedPageBreak/>
        <w:t>1. Zaplanowane w budże</w:t>
      </w:r>
      <w:r w:rsidRPr="00163B23">
        <w:rPr>
          <w:rFonts w:asciiTheme="minorHAnsi" w:hAnsiTheme="minorHAnsi" w:cstheme="minorHAnsi"/>
        </w:rPr>
        <w:t xml:space="preserve">cie miasta dochody z tytułu opłat rodziców za wychowanie przedszkolne: </w:t>
      </w:r>
      <w:r w:rsidRPr="00163B23">
        <w:rPr>
          <w:rFonts w:asciiTheme="minorHAnsi" w:hAnsiTheme="minorHAnsi" w:cstheme="minorHAnsi"/>
          <w:b/>
          <w:bCs/>
        </w:rPr>
        <w:t>112 000 zł.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III. Wyliczone wydatki (stan na 31.03.2024 r.)  na dzieci niepełnosprawne</w:t>
      </w:r>
      <w:r w:rsidRPr="00163B23">
        <w:rPr>
          <w:rFonts w:asciiTheme="minorHAnsi" w:hAnsiTheme="minorHAnsi" w:cstheme="minorHAnsi"/>
        </w:rPr>
        <w:t xml:space="preserve"> w przedszkolach miejskich według wag subwencji oświatowej – statystyczna liczba dzieci (stan na 30</w:t>
      </w:r>
      <w:r w:rsidRPr="00163B23">
        <w:rPr>
          <w:rFonts w:asciiTheme="minorHAnsi" w:hAnsiTheme="minorHAnsi" w:cstheme="minorHAnsi"/>
        </w:rPr>
        <w:t>.09.2023 r.):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- waga 9,50 x 7 dzieci = 66,50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- waga 3,60 x 2 dzieci = 7,20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- waga 2,90 x 2 dzieci = 7,80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Razem statystyczna liczba dzieci niepełnosprawnych = 81,50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Wydatki na dzieci niepełnosprawne w przedszkolach miejskich: 81,50 (statystyczna liczba dzieci)                      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x 8 991,36 zł (standard „A” subwencji oświatowej na rok 2024) = </w:t>
      </w:r>
      <w:r w:rsidRPr="00163B23">
        <w:rPr>
          <w:rFonts w:asciiTheme="minorHAnsi" w:hAnsiTheme="minorHAnsi" w:cstheme="minorHAnsi"/>
          <w:b/>
          <w:bCs/>
        </w:rPr>
        <w:t>732 795,84 zł.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  <w:b/>
          <w:bCs/>
        </w:rPr>
        <w:t>Razem dochody</w:t>
      </w:r>
      <w:r w:rsidRPr="00163B23">
        <w:rPr>
          <w:rFonts w:asciiTheme="minorHAnsi" w:hAnsiTheme="minorHAnsi" w:cstheme="minorHAnsi"/>
        </w:rPr>
        <w:t xml:space="preserve"> pomniejszające wydatki budżetowe na przedszk</w:t>
      </w:r>
      <w:r w:rsidRPr="00163B23">
        <w:rPr>
          <w:rFonts w:asciiTheme="minorHAnsi" w:hAnsiTheme="minorHAnsi" w:cstheme="minorHAnsi"/>
        </w:rPr>
        <w:t>ola (pomniejszenie wydatków):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  <w:b/>
          <w:bCs/>
        </w:rPr>
      </w:pPr>
      <w:r w:rsidRPr="00163B23">
        <w:rPr>
          <w:rFonts w:asciiTheme="minorHAnsi" w:hAnsiTheme="minorHAnsi" w:cstheme="minorHAnsi"/>
          <w:b/>
          <w:bCs/>
        </w:rPr>
        <w:t>844 795,84 zł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IV. Ustalenie liczby dzieci przedszkolnych w roku bazowym według stanu na dzień 30.09.2023 r.: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- liczba dzieci w przedszkolach miejskich: 218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- liczba dzieci niepełnosprawnych w przedszkolach miejskich: 11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- statystyczna liczba dzieci: 218 – 11 = </w:t>
      </w:r>
      <w:r w:rsidRPr="00163B23">
        <w:rPr>
          <w:rFonts w:asciiTheme="minorHAnsi" w:hAnsiTheme="minorHAnsi" w:cstheme="minorHAnsi"/>
          <w:b/>
          <w:bCs/>
        </w:rPr>
        <w:t>207 dzieci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lastRenderedPageBreak/>
        <w:t>V. Ustalenie kwoty podstawowej dotacji dla przedszkoli (KPD):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- </w:t>
      </w:r>
      <w:r w:rsidRPr="00163B23">
        <w:rPr>
          <w:rFonts w:asciiTheme="minorHAnsi" w:hAnsiTheme="minorHAnsi" w:cstheme="minorHAnsi"/>
          <w:b/>
          <w:bCs/>
        </w:rPr>
        <w:t xml:space="preserve">4 870 164,34 </w:t>
      </w:r>
      <w:r w:rsidRPr="00163B23">
        <w:rPr>
          <w:rFonts w:asciiTheme="minorHAnsi" w:hAnsiTheme="minorHAnsi" w:cstheme="minorHAnsi"/>
        </w:rPr>
        <w:t>zł (planowane wydatki) –</w:t>
      </w:r>
      <w:r w:rsidRPr="00163B23">
        <w:rPr>
          <w:rFonts w:asciiTheme="minorHAnsi" w:hAnsiTheme="minorHAnsi" w:cstheme="minorHAnsi"/>
          <w:b/>
          <w:bCs/>
        </w:rPr>
        <w:t xml:space="preserve"> 844 795,84 </w:t>
      </w:r>
      <w:r w:rsidRPr="00163B23">
        <w:rPr>
          <w:rFonts w:asciiTheme="minorHAnsi" w:hAnsiTheme="minorHAnsi" w:cstheme="minorHAnsi"/>
        </w:rPr>
        <w:t xml:space="preserve">zł ( planowane dochody pomniejszające wydatki)/ </w:t>
      </w:r>
      <w:r w:rsidRPr="00163B23">
        <w:rPr>
          <w:rFonts w:asciiTheme="minorHAnsi" w:hAnsiTheme="minorHAnsi" w:cstheme="minorHAnsi"/>
          <w:b/>
          <w:bCs/>
        </w:rPr>
        <w:t>207</w:t>
      </w:r>
      <w:r w:rsidRPr="00163B23">
        <w:rPr>
          <w:rFonts w:asciiTheme="minorHAnsi" w:hAnsiTheme="minorHAnsi" w:cstheme="minorHAnsi"/>
        </w:rPr>
        <w:t xml:space="preserve"> (statystyczna liczba dzieci) / </w:t>
      </w:r>
      <w:r w:rsidRPr="00163B23">
        <w:rPr>
          <w:rFonts w:asciiTheme="minorHAnsi" w:hAnsiTheme="minorHAnsi" w:cstheme="minorHAnsi"/>
          <w:b/>
          <w:bCs/>
        </w:rPr>
        <w:t>12</w:t>
      </w:r>
      <w:r w:rsidRPr="00163B23">
        <w:rPr>
          <w:rFonts w:asciiTheme="minorHAnsi" w:hAnsiTheme="minorHAnsi" w:cstheme="minorHAnsi"/>
        </w:rPr>
        <w:t xml:space="preserve"> (lic</w:t>
      </w:r>
      <w:r w:rsidRPr="00163B23">
        <w:rPr>
          <w:rFonts w:asciiTheme="minorHAnsi" w:hAnsiTheme="minorHAnsi" w:cstheme="minorHAnsi"/>
        </w:rPr>
        <w:t xml:space="preserve">zba miesięcy w roku) = </w:t>
      </w:r>
      <w:r w:rsidRPr="00163B23">
        <w:rPr>
          <w:rFonts w:asciiTheme="minorHAnsi" w:hAnsiTheme="minorHAnsi" w:cstheme="minorHAnsi"/>
          <w:b/>
          <w:bCs/>
        </w:rPr>
        <w:t>1 620,52 zł.</w:t>
      </w: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>VI. Ustalenie kwoty dotacji dla placówek przedszkolnych niepublicznych:</w:t>
      </w:r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- dotacja dla przedszkoli niepublicznych: 1 620,52 zł x 75% = </w:t>
      </w:r>
      <w:bookmarkStart w:id="5" w:name="_Hlk123805707"/>
      <w:r w:rsidRPr="00163B23">
        <w:rPr>
          <w:rFonts w:asciiTheme="minorHAnsi" w:hAnsiTheme="minorHAnsi" w:cstheme="minorHAnsi"/>
          <w:b/>
          <w:bCs/>
        </w:rPr>
        <w:t>1 215,39 zł,</w:t>
      </w:r>
      <w:bookmarkEnd w:id="5"/>
    </w:p>
    <w:p w:rsidR="006F42F8" w:rsidRPr="00163B23" w:rsidRDefault="00163B23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63B23">
        <w:rPr>
          <w:rFonts w:asciiTheme="minorHAnsi" w:hAnsiTheme="minorHAnsi" w:cstheme="minorHAnsi"/>
        </w:rPr>
        <w:t xml:space="preserve">- dotacja dla niepublicznego punktu przedszkolnego: 1 620,52 zł x 40% = </w:t>
      </w:r>
      <w:r w:rsidRPr="00163B23">
        <w:rPr>
          <w:rFonts w:asciiTheme="minorHAnsi" w:hAnsiTheme="minorHAnsi" w:cstheme="minorHAnsi"/>
          <w:b/>
          <w:bCs/>
        </w:rPr>
        <w:t>648,21 zł.</w:t>
      </w:r>
    </w:p>
    <w:p w:rsidR="006F42F8" w:rsidRPr="00163B23" w:rsidRDefault="006F42F8" w:rsidP="00163B23">
      <w:pPr>
        <w:spacing w:after="240" w:line="360" w:lineRule="auto"/>
        <w:ind w:left="720"/>
        <w:jc w:val="both"/>
        <w:rPr>
          <w:rFonts w:asciiTheme="minorHAnsi" w:hAnsiTheme="minorHAnsi" w:cstheme="minorHAnsi"/>
        </w:rPr>
      </w:pPr>
    </w:p>
    <w:p w:rsidR="006F42F8" w:rsidRPr="00163B23" w:rsidRDefault="006F42F8" w:rsidP="00163B23">
      <w:pPr>
        <w:spacing w:after="240" w:line="360" w:lineRule="auto"/>
        <w:jc w:val="both"/>
        <w:rPr>
          <w:rFonts w:asciiTheme="minorHAnsi" w:hAnsiTheme="minorHAnsi" w:cstheme="minorHAnsi"/>
        </w:rPr>
      </w:pPr>
    </w:p>
    <w:sectPr w:rsidR="006F42F8" w:rsidRPr="00163B23" w:rsidSect="006F42F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compat/>
  <w:rsids>
    <w:rsidRoot w:val="006F42F8"/>
    <w:rsid w:val="00163B23"/>
    <w:rsid w:val="006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F8"/>
    <w:pPr>
      <w:suppressAutoHyphens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F42F8"/>
  </w:style>
  <w:style w:type="character" w:customStyle="1" w:styleId="Znakiwypunktowania">
    <w:name w:val="Znaki wypunktowania"/>
    <w:rsid w:val="006F42F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6F42F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F42F8"/>
    <w:pPr>
      <w:spacing w:after="120"/>
    </w:pPr>
  </w:style>
  <w:style w:type="paragraph" w:styleId="Lista">
    <w:name w:val="List"/>
    <w:basedOn w:val="Tekstpodstawowy"/>
    <w:rsid w:val="006F42F8"/>
  </w:style>
  <w:style w:type="paragraph" w:styleId="Legenda">
    <w:name w:val="caption"/>
    <w:basedOn w:val="Normalny"/>
    <w:rsid w:val="006F42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F42F8"/>
    <w:pPr>
      <w:suppressLineNumbers/>
    </w:pPr>
  </w:style>
  <w:style w:type="paragraph" w:customStyle="1" w:styleId="2">
    <w:name w:val="2"/>
    <w:next w:val="Normalny"/>
    <w:link w:val="2Znak"/>
    <w:qFormat/>
    <w:rsid w:val="00163B23"/>
    <w:pPr>
      <w:spacing w:line="360" w:lineRule="auto"/>
      <w:jc w:val="center"/>
    </w:pPr>
    <w:rPr>
      <w:rFonts w:asciiTheme="minorHAnsi" w:eastAsiaTheme="majorEastAsia" w:hAnsiTheme="minorHAnsi" w:cstheme="minorHAnsi"/>
      <w:b/>
      <w:kern w:val="0"/>
      <w:sz w:val="44"/>
      <w:szCs w:val="47"/>
    </w:rPr>
  </w:style>
  <w:style w:type="character" w:customStyle="1" w:styleId="2Znak">
    <w:name w:val="2 Znak"/>
    <w:basedOn w:val="Domylnaczcionkaakapitu"/>
    <w:link w:val="2"/>
    <w:rsid w:val="00163B23"/>
    <w:rPr>
      <w:rFonts w:asciiTheme="minorHAnsi" w:eastAsiaTheme="majorEastAsia" w:hAnsiTheme="minorHAnsi" w:cstheme="minorHAnsi"/>
      <w:b/>
      <w:kern w:val="0"/>
      <w:sz w:val="44"/>
      <w:szCs w:val="47"/>
    </w:rPr>
  </w:style>
  <w:style w:type="paragraph" w:customStyle="1" w:styleId="3">
    <w:name w:val="3"/>
    <w:next w:val="Normalny"/>
    <w:link w:val="3Znak"/>
    <w:qFormat/>
    <w:rsid w:val="00163B23"/>
    <w:pPr>
      <w:spacing w:after="240" w:line="360" w:lineRule="auto"/>
    </w:pPr>
    <w:rPr>
      <w:rFonts w:asciiTheme="minorHAnsi" w:hAnsiTheme="minorHAnsi" w:cstheme="minorHAnsi"/>
      <w:b/>
      <w:bCs/>
      <w:kern w:val="0"/>
      <w:sz w:val="28"/>
    </w:rPr>
  </w:style>
  <w:style w:type="character" w:customStyle="1" w:styleId="3Znak">
    <w:name w:val="3 Znak"/>
    <w:basedOn w:val="Domylnaczcionkaakapitu"/>
    <w:link w:val="3"/>
    <w:rsid w:val="00163B23"/>
    <w:rPr>
      <w:rFonts w:asciiTheme="minorHAnsi" w:hAnsiTheme="minorHAnsi" w:cstheme="minorHAnsi"/>
      <w:b/>
      <w:bCs/>
      <w:kern w:val="0"/>
      <w:sz w:val="28"/>
    </w:rPr>
  </w:style>
  <w:style w:type="paragraph" w:customStyle="1" w:styleId="4">
    <w:name w:val="4"/>
    <w:next w:val="Normalny"/>
    <w:link w:val="4Znak"/>
    <w:qFormat/>
    <w:rsid w:val="00163B23"/>
    <w:pPr>
      <w:spacing w:after="240" w:line="360" w:lineRule="auto"/>
      <w:jc w:val="center"/>
    </w:pPr>
    <w:rPr>
      <w:rFonts w:ascii="Calibri" w:hAnsi="Calibri" w:cs="Calibri"/>
      <w:b/>
      <w:kern w:val="0"/>
    </w:rPr>
  </w:style>
  <w:style w:type="character" w:customStyle="1" w:styleId="4Znak">
    <w:name w:val="4 Znak"/>
    <w:basedOn w:val="Domylnaczcionkaakapitu"/>
    <w:link w:val="4"/>
    <w:rsid w:val="00163B23"/>
    <w:rPr>
      <w:rFonts w:ascii="Calibri" w:hAnsi="Calibri" w:cs="Calibri"/>
      <w:b/>
      <w:kern w:val="0"/>
    </w:rPr>
  </w:style>
  <w:style w:type="paragraph" w:customStyle="1" w:styleId="1">
    <w:name w:val="1"/>
    <w:link w:val="1Znak"/>
    <w:qFormat/>
    <w:rsid w:val="00163B23"/>
    <w:pPr>
      <w:spacing w:after="240" w:line="360" w:lineRule="auto"/>
    </w:pPr>
    <w:rPr>
      <w:rFonts w:asciiTheme="minorHAnsi" w:hAnsiTheme="minorHAnsi" w:cstheme="minorHAnsi"/>
      <w:kern w:val="0"/>
    </w:rPr>
  </w:style>
  <w:style w:type="character" w:customStyle="1" w:styleId="1Znak">
    <w:name w:val="1 Znak"/>
    <w:basedOn w:val="Domylnaczcionkaakapitu"/>
    <w:link w:val="1"/>
    <w:rsid w:val="00163B23"/>
    <w:rPr>
      <w:rFonts w:asciiTheme="minorHAnsi" w:hAnsiTheme="minorHAnsi" w:cstheme="minorHAns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Maludziński</dc:creator>
  <dc:description/>
  <cp:lastModifiedBy>Informatyk</cp:lastModifiedBy>
  <cp:revision>19</cp:revision>
  <cp:lastPrinted>2024-04-17T06:23:00Z</cp:lastPrinted>
  <dcterms:created xsi:type="dcterms:W3CDTF">2024-04-09T09:03:00Z</dcterms:created>
  <dcterms:modified xsi:type="dcterms:W3CDTF">2024-04-26T07:43:00Z</dcterms:modified>
  <dc:language>pl-PL</dc:language>
</cp:coreProperties>
</file>