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tLeast" w:line="324"/>
        <w:jc w:val="center"/>
        <w:rPr/>
      </w:pPr>
      <w:r>
        <w:rPr>
          <w:rStyle w:val="Mocnowyrniony"/>
          <w:rFonts w:ascii="Arial" w:hAnsi="Arial"/>
        </w:rPr>
        <w:t>Zarządzenie Nr 91/2022</w:t>
      </w:r>
    </w:p>
    <w:p>
      <w:pPr>
        <w:pStyle w:val="Textbody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Arial" w:hAnsi="Arial"/>
          <w:b/>
        </w:rPr>
        <w:t>Burmistrza Miasta Braniewa</w:t>
      </w:r>
    </w:p>
    <w:p>
      <w:pPr>
        <w:pStyle w:val="Textbody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Arial" w:hAnsi="Arial"/>
          <w:b/>
        </w:rPr>
        <w:t>z dnia 26 maja 2022 roku</w:t>
      </w:r>
    </w:p>
    <w:p>
      <w:pPr>
        <w:pStyle w:val="Textbody"/>
        <w:spacing w:lineRule="auto" w:line="360" w:before="0" w:after="0"/>
        <w:jc w:val="center"/>
        <w:rPr>
          <w:rFonts w:ascii="Times New Roman" w:hAnsi="Times New Roman"/>
          <w:u w:val="single"/>
        </w:rPr>
      </w:pPr>
      <w:r>
        <w:rPr>
          <w:rFonts w:ascii="Arial" w:hAnsi="Arial"/>
          <w:u w:val="single"/>
        </w:rPr>
        <w:t>w sprawie podania do publicznej wiadomości rocznej informacji za 2021 r.</w:t>
      </w:r>
    </w:p>
    <w:p>
      <w:pPr>
        <w:pStyle w:val="Textbody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</w:rPr>
        <w:t>Na podstawie art. 37 ust. 1, pkt. 2 ustawy z dnia 27 sierpnia 2009 r. o finansach publicznych  (tekst jednolity: DZ. U. z 2021 , poz. 305) Burmistrz Miasta Braniewa zarządza co następuje :</w:t>
      </w:r>
    </w:p>
    <w:p>
      <w:pPr>
        <w:pStyle w:val="Textbody"/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§ 1</w:t>
      </w:r>
    </w:p>
    <w:p>
      <w:pPr>
        <w:pStyle w:val="Textbody"/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2"/>
          <w:szCs w:val="22"/>
        </w:rPr>
        <w:t>1. Podaje się do publicznej wiadomości :</w:t>
      </w:r>
    </w:p>
    <w:p>
      <w:pPr>
        <w:pStyle w:val="Textbody"/>
        <w:widowControl/>
        <w:bidi w:val="0"/>
        <w:spacing w:lineRule="auto" w:line="360" w:before="0" w:after="0"/>
        <w:ind w:left="227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2"/>
          <w:szCs w:val="22"/>
        </w:rPr>
        <w:t>1) Wykonanie budżetu miasta za 2021 rok zgodnie z załącznikiem nr 1 do zarządzenia .</w:t>
      </w:r>
    </w:p>
    <w:p>
      <w:pPr>
        <w:pStyle w:val="Textbody"/>
        <w:widowControl/>
        <w:bidi w:val="0"/>
        <w:spacing w:lineRule="auto" w:line="360" w:before="0" w:after="0"/>
        <w:ind w:left="454" w:right="0" w:hanging="227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i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Kwota wykorzystanych w roku 2021 środków, o których mowa w art. 5 ust.1 pkt 2 ustawy o finansach publicznych – 2 102 707,17 zł.</w:t>
      </w:r>
    </w:p>
    <w:p>
      <w:pPr>
        <w:pStyle w:val="Textbody"/>
        <w:widowControl/>
        <w:bidi w:val="0"/>
        <w:spacing w:lineRule="auto" w:line="360" w:before="0" w:after="0"/>
        <w:ind w:left="227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3) Zobowiązania Miasta Braniewa na dzień 31.12.2021 r. wyniosły ogółem – 9 712 560,98 zł</w:t>
      </w:r>
    </w:p>
    <w:p>
      <w:pPr>
        <w:pStyle w:val="Textbody"/>
        <w:widowControl/>
        <w:bidi w:val="0"/>
        <w:spacing w:lineRule="auto" w:line="360" w:before="0" w:after="0"/>
        <w:ind w:left="454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4"/>
          <w:szCs w:val="24"/>
        </w:rPr>
        <w:t>w tym :</w:t>
      </w:r>
    </w:p>
    <w:p>
      <w:pPr>
        <w:pStyle w:val="Textbody"/>
        <w:spacing w:lineRule="auto" w:line="360" w:before="0" w:after="0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2"/>
          <w:szCs w:val="22"/>
        </w:rPr>
        <w:t>a) z tytułu obligacji komunalnych –  2 800 000,00 zł ,</w:t>
      </w:r>
    </w:p>
    <w:p>
      <w:pPr>
        <w:pStyle w:val="Textbody"/>
        <w:spacing w:lineRule="auto" w:line="360" w:before="0" w:after="0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2"/>
          <w:szCs w:val="22"/>
        </w:rPr>
        <w:t>b) z tytułu zaciągniętego kredytu  –  6 120 000,00 zł ,</w:t>
      </w:r>
    </w:p>
    <w:p>
      <w:pPr>
        <w:pStyle w:val="Textbody"/>
        <w:spacing w:lineRule="auto" w:line="360" w:before="0" w:after="0"/>
        <w:ind w:left="720" w:hanging="360"/>
        <w:rPr>
          <w:rFonts w:ascii="Arial" w:hAnsi="Arial"/>
        </w:rPr>
      </w:pPr>
      <w:r>
        <w:rPr>
          <w:rFonts w:ascii="Arial" w:hAnsi="Arial"/>
          <w:sz w:val="22"/>
          <w:szCs w:val="22"/>
        </w:rPr>
        <w:t>c) z tytułu pożyczki z WFOŚ - 587 560,98 zł,</w:t>
      </w:r>
    </w:p>
    <w:p>
      <w:pPr>
        <w:pStyle w:val="Textbody"/>
        <w:spacing w:lineRule="auto" w:line="360" w:before="0" w:after="0"/>
        <w:ind w:left="720" w:hanging="360"/>
        <w:rPr>
          <w:rFonts w:ascii="Arial" w:hAnsi="Arial"/>
        </w:rPr>
      </w:pPr>
      <w:r>
        <w:rPr>
          <w:rFonts w:ascii="Arial" w:hAnsi="Arial"/>
          <w:sz w:val="22"/>
          <w:szCs w:val="22"/>
        </w:rPr>
        <w:t>d) zakup nieruchomości na raty - 205 000,00 zł,</w:t>
      </w:r>
    </w:p>
    <w:p>
      <w:pPr>
        <w:pStyle w:val="Textbody"/>
        <w:widowControl/>
        <w:bidi w:val="0"/>
        <w:spacing w:lineRule="auto" w:line="360" w:before="0" w:after="0"/>
        <w:ind w:left="227" w:right="0" w:hanging="227"/>
        <w:jc w:val="both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2"/>
          <w:szCs w:val="22"/>
        </w:rPr>
        <w:t>4) Kwoty dotacji otrzymanych z budżetów jednostek samorządu terytorialnego oraz kwoty dotacji udzielonych innym jednostkom samorządu terytorialnego zgodnie z załącznikiem nr 2 do zarządzenia .</w:t>
      </w:r>
    </w:p>
    <w:p>
      <w:pPr>
        <w:pStyle w:val="Textbody"/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2"/>
          <w:szCs w:val="22"/>
        </w:rPr>
        <w:t>5) Poręczeń i gwarancji w 2021 roku nie udzielono .</w:t>
      </w:r>
    </w:p>
    <w:p>
      <w:pPr>
        <w:pStyle w:val="Textbody"/>
        <w:widowControl/>
        <w:bidi w:val="0"/>
        <w:spacing w:lineRule="auto" w:line="360" w:before="0" w:after="0"/>
        <w:ind w:left="227" w:right="0" w:hanging="227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6) Wykaz osób prawnych i fizycznych oraz jednostek organizacyjnych nieposiadających osobowości prawnej , którym w roku 2021 w zakresie podatków lub opłat udzielono ulg, odroczenia, umorzenia lub rozłożono spłatę na raty w kwocie przewyższającej łącznie 500 zł stanowi załącznik nr 3 do zarządzenia.</w:t>
      </w:r>
    </w:p>
    <w:p>
      <w:pPr>
        <w:pStyle w:val="Textbody"/>
        <w:widowControl/>
        <w:bidi w:val="0"/>
        <w:spacing w:lineRule="auto" w:line="360" w:before="0" w:after="0"/>
        <w:ind w:left="227" w:right="0" w:hanging="227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7) Wykaz osób prawnych i fizycznych oraz jednostek organizacyjnych nieposiadających osobowości prawnej , którym w roku 2021 udzielono pomocy publicznej zgodnie z załącznikiem nr 4 do zarządzenia.</w:t>
      </w:r>
    </w:p>
    <w:p>
      <w:pPr>
        <w:pStyle w:val="Textbody"/>
        <w:widowControl/>
        <w:bidi w:val="0"/>
        <w:spacing w:lineRule="auto" w:line="360" w:before="0" w:after="0"/>
        <w:ind w:left="227" w:right="0" w:hanging="227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8) Wykaz osób prawnych i fizycznych oraz jednostek organizacyjnych nieposiadających osobowości prawnej , którym w roku 2021 dokonano zwrotu podatku akcyzowego zgodnie z załącznikiem nr 5 do zarządzenia.</w:t>
      </w:r>
    </w:p>
    <w:p>
      <w:pPr>
        <w:pStyle w:val="Textbody"/>
        <w:spacing w:lineRule="auto" w:line="360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2</w:t>
      </w:r>
    </w:p>
    <w:p>
      <w:pPr>
        <w:pStyle w:val="Textbody"/>
        <w:spacing w:lineRule="auto" w:line="360" w:before="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Zarządzenie wchodzi w życie z dniem podpisania.</w:t>
      </w:r>
    </w:p>
    <w:p>
      <w:pPr>
        <w:pStyle w:val="Textbody"/>
        <w:widowControl/>
        <w:bidi w:val="0"/>
        <w:spacing w:lineRule="auto" w:line="360" w:before="0" w:after="0"/>
        <w:ind w:left="5272" w:right="0" w:hanging="0"/>
        <w:jc w:val="center"/>
        <w:rPr>
          <w:rFonts w:ascii="Arial" w:hAnsi="Arial"/>
          <w:color w:val="DC2300"/>
          <w:sz w:val="24"/>
          <w:szCs w:val="24"/>
        </w:rPr>
      </w:pPr>
      <w:r>
        <w:rPr>
          <w:rFonts w:ascii="Arial" w:hAnsi="Arial"/>
          <w:color w:val="DC2300"/>
          <w:sz w:val="24"/>
          <w:szCs w:val="24"/>
        </w:rPr>
        <w:t>BURMISTRZ</w:t>
      </w:r>
    </w:p>
    <w:p>
      <w:pPr>
        <w:pStyle w:val="Textbody"/>
        <w:widowControl/>
        <w:bidi w:val="0"/>
        <w:spacing w:lineRule="auto" w:line="360" w:before="0" w:after="0"/>
        <w:ind w:left="5272" w:right="0" w:hanging="0"/>
        <w:jc w:val="center"/>
        <w:rPr/>
      </w:pPr>
      <w:r>
        <w:rPr>
          <w:rFonts w:ascii="Arial" w:hAnsi="Arial"/>
          <w:color w:val="DC2300"/>
          <w:sz w:val="24"/>
          <w:szCs w:val="24"/>
        </w:rPr>
        <w:t>Tomasz Sielicki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Nagłówek 1"/>
    <w:uiPriority w:val="9"/>
    <w:qFormat/>
    <w:pPr>
      <w:keepNext/>
      <w:widowControl w:val="false"/>
      <w:suppressAutoHyphens w:val="true"/>
      <w:jc w:val="center"/>
      <w:textAlignment w:val="baseline"/>
      <w:outlineLvl w:val="0"/>
    </w:pPr>
    <w:rPr>
      <w:rFonts w:ascii="Liberation Serif" w:hAnsi="Liberation Serif" w:eastAsia="SimSun" w:cs="Mangal"/>
      <w:b/>
      <w:bCs/>
      <w:color w:val="auto"/>
      <w:sz w:val="24"/>
      <w:szCs w:val="24"/>
      <w:lang w:val="pl-PL" w:eastAsia="zh-CN" w:bidi="hi-IN"/>
    </w:rPr>
  </w:style>
  <w:style w:type="paragraph" w:styleId="Nagwek2">
    <w:name w:val="Nagłówek 2"/>
    <w:uiPriority w:val="9"/>
    <w:unhideWhenUsed/>
    <w:qFormat/>
    <w:pPr>
      <w:keepNext/>
      <w:widowControl w:val="false"/>
      <w:suppressAutoHyphens w:val="true"/>
      <w:jc w:val="center"/>
      <w:textAlignment w:val="baseline"/>
      <w:outlineLvl w:val="1"/>
    </w:pPr>
    <w:rPr>
      <w:rFonts w:ascii="Liberation Serif" w:hAnsi="Liberation Serif" w:eastAsia="SimSun" w:cs="Mangal"/>
      <w:color w:val="auto"/>
      <w:sz w:val="28"/>
      <w:szCs w:val="28"/>
      <w:lang w:val="pl-PL" w:eastAsia="zh-CN" w:bidi="hi-IN"/>
    </w:rPr>
  </w:style>
  <w:style w:type="paragraph" w:styleId="Nagwek3">
    <w:name w:val="Nagłówek 3"/>
    <w:uiPriority w:val="9"/>
    <w:unhideWhenUsed/>
    <w:qFormat/>
    <w:pPr>
      <w:keepNext/>
      <w:widowControl w:val="false"/>
      <w:shd w:val="clear" w:color="auto" w:fill="FFFFFF"/>
      <w:suppressAutoHyphens w:val="true"/>
      <w:spacing w:lineRule="auto" w:line="360"/>
      <w:ind w:left="29" w:hanging="0"/>
      <w:textAlignment w:val="baseline"/>
      <w:outlineLvl w:val="2"/>
    </w:pPr>
    <w:rPr>
      <w:rFonts w:ascii="Liberation Serif" w:hAnsi="Liberation Serif" w:eastAsia="SimSun" w:cs="Mangal"/>
      <w:color w:val="000000"/>
      <w:spacing w:val="0"/>
      <w:sz w:val="24"/>
      <w:szCs w:val="24"/>
      <w:u w:val="single"/>
      <w:lang w:val="pl-PL" w:eastAsia="zh-CN" w:bidi="hi-IN"/>
    </w:rPr>
  </w:style>
  <w:style w:type="paragraph" w:styleId="Nagwek4">
    <w:name w:val="Nagłówek 4"/>
    <w:uiPriority w:val="9"/>
    <w:unhideWhenUsed/>
    <w:qFormat/>
    <w:pPr>
      <w:keepNext/>
      <w:widowControl w:val="false"/>
      <w:shd w:val="clear" w:color="auto" w:fill="FFFFFF"/>
      <w:suppressAutoHyphens w:val="true"/>
      <w:spacing w:lineRule="auto" w:line="360"/>
      <w:ind w:left="29" w:hanging="0"/>
      <w:textAlignment w:val="baseline"/>
      <w:outlineLvl w:val="3"/>
    </w:pPr>
    <w:rPr>
      <w:rFonts w:ascii="Liberation Serif" w:hAnsi="Liberation Serif" w:eastAsia="SimSun" w:cs="Mangal"/>
      <w:i/>
      <w:iCs/>
      <w:color w:val="000000"/>
      <w:spacing w:val="0"/>
      <w:sz w:val="24"/>
      <w:szCs w:val="24"/>
      <w:lang w:val="pl-PL" w:eastAsia="zh-CN" w:bidi="hi-IN"/>
    </w:rPr>
  </w:style>
  <w:style w:type="paragraph" w:styleId="Nagwek5">
    <w:name w:val="Nagłówek 5"/>
    <w:uiPriority w:val="9"/>
    <w:unhideWhenUsed/>
    <w:qFormat/>
    <w:pPr>
      <w:keepNext/>
      <w:widowControl w:val="false"/>
      <w:suppressAutoHyphens w:val="true"/>
      <w:jc w:val="center"/>
      <w:textAlignment w:val="baseline"/>
      <w:outlineLvl w:val="4"/>
    </w:pPr>
    <w:rPr>
      <w:rFonts w:ascii="Liberation Serif" w:hAnsi="Liberation Serif" w:eastAsia="SimSun" w:cs="Mangal"/>
      <w:b/>
      <w:bCs/>
      <w:color w:val="auto"/>
      <w:sz w:val="24"/>
      <w:szCs w:val="24"/>
      <w:lang w:val="pl-PL" w:eastAsia="zh-CN" w:bidi="hi-IN"/>
    </w:rPr>
  </w:style>
  <w:style w:type="paragraph" w:styleId="Nagwek6">
    <w:name w:val="Nagłówek 6"/>
    <w:basedOn w:val="Gwka"/>
    <w:uiPriority w:val="9"/>
    <w:unhideWhenUsed/>
    <w:qFormat/>
    <w:pPr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rPr>
      <w:b/>
      <w:bCs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0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1z3" w:customStyle="1">
    <w:name w:val="WW8Num1z3"/>
    <w:qFormat/>
    <w:rPr>
      <w:rFonts w:ascii="Symbol" w:hAnsi="Symbol" w:eastAsia="Symbol" w:cs="Symbol"/>
    </w:rPr>
  </w:style>
  <w:style w:type="character" w:styleId="Znakinumeracji" w:customStyle="1">
    <w:name w:val="Znaki numeracji"/>
    <w:qFormat/>
    <w:rPr/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e936d1"/>
    <w:rPr>
      <w:sz w:val="16"/>
      <w:szCs w:val="1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77be"/>
    <w:rPr>
      <w:rFonts w:ascii="Segoe UI" w:hAnsi="Segoe UI"/>
      <w:sz w:val="18"/>
      <w:szCs w:val="16"/>
    </w:rPr>
  </w:style>
  <w:style w:type="character" w:styleId="ListLabel1">
    <w:name w:val="ListLabel 1"/>
    <w:qFormat/>
    <w:rPr>
      <w:rFonts w:eastAsia="Times New Roman" w:cs="Times New Roman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paragraph" w:styleId="Nagwek" w:customStyle="1">
    <w:name w:val="Nagłówek"/>
    <w:basedOn w:val="Standard"/>
    <w:next w:val="Tretekstu"/>
    <w:qFormat/>
    <w:pPr>
      <w:keepNext/>
      <w:spacing w:before="240" w:after="120"/>
    </w:pPr>
    <w:rPr>
      <w:rFonts w:ascii="Liberation Sans" w:hAnsi="Liberation Sans" w:eastAsia="MS PGothic" w:cs="Tahoma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Tahoma"/>
    </w:rPr>
  </w:style>
  <w:style w:type="paragraph" w:styleId="Gwka">
    <w:name w:val="Główka"/>
    <w:basedOn w:val="Standard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ytu">
    <w:name w:val="Tytuł"/>
    <w:basedOn w:val="Gwka"/>
    <w:uiPriority w:val="10"/>
    <w:qFormat/>
    <w:pPr>
      <w:jc w:val="center"/>
    </w:pPr>
    <w:rPr>
      <w:b/>
      <w:bCs/>
      <w:sz w:val="36"/>
      <w:szCs w:val="36"/>
    </w:rPr>
  </w:style>
  <w:style w:type="paragraph" w:styleId="Podtytu">
    <w:name w:val="Podtytuł"/>
    <w:basedOn w:val="Gwka"/>
    <w:uiPriority w:val="11"/>
    <w:qFormat/>
    <w:pPr>
      <w:jc w:val="center"/>
    </w:pPr>
    <w:rPr>
      <w:i/>
      <w:iCs/>
    </w:rPr>
  </w:style>
  <w:style w:type="paragraph" w:styleId="Stopka">
    <w:name w:val="Stopka"/>
    <w:basedOn w:val="Standard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Nagwek10" w:customStyle="1">
    <w:name w:val="Nagłówek 10"/>
    <w:basedOn w:val="Gwka"/>
    <w:qFormat/>
    <w:pPr/>
    <w:rPr>
      <w:b/>
      <w:bCs/>
    </w:rPr>
  </w:style>
  <w:style w:type="paragraph" w:styleId="BodyText2">
    <w:name w:val="Body Text 2"/>
    <w:basedOn w:val="Standard"/>
    <w:qFormat/>
    <w:pPr>
      <w:spacing w:lineRule="auto" w:line="360"/>
    </w:pPr>
    <w:rPr>
      <w:rFonts w:ascii="Verdana" w:hAnsi="Verdana" w:eastAsia="Verdana" w:cs="Verdana"/>
      <w:i/>
      <w:iCs/>
      <w:sz w:val="20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e936d1"/>
    <w:pPr>
      <w:spacing w:before="0" w:after="120"/>
    </w:pPr>
    <w:rPr>
      <w:sz w:val="16"/>
      <w:szCs w:val="1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77be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3b114e"/>
    <w:pPr>
      <w:spacing w:before="0" w:after="0"/>
      <w:ind w:left="720" w:hanging="0"/>
      <w:contextualSpacing/>
    </w:pPr>
    <w:rPr>
      <w:szCs w:val="21"/>
    </w:rPr>
  </w:style>
  <w:style w:type="paragraph" w:styleId="Cytaty">
    <w:name w:val="Cytaty"/>
    <w:basedOn w:val="Normal"/>
    <w:qFormat/>
    <w:pPr/>
    <w:rPr/>
  </w:style>
  <w:style w:type="paragraph" w:styleId="Arial">
    <w:name w:val="arial"/>
    <w:basedOn w:val="Textbody"/>
    <w:qFormat/>
    <w:pPr/>
    <w:rPr/>
  </w:style>
  <w:style w:type="paragraph" w:styleId="Tahoma">
    <w:name w:val="Tahoma"/>
    <w:basedOn w:val="Textbody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LibreOffice/4.4.4.3$Windows_x86 LibreOffice_project/2c39ebcf046445232b798108aa8a7e7d89552ea8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2022-05-27T08:24:00Z</dcterms:created>
  <dc:creator>Agnieszka Jodko</dc:creator>
  <dc:language>pl-PL</dc:language>
  <cp:lastModifiedBy>Joanna Adamkiewicz</cp:lastModifiedBy>
  <cp:lastPrinted>2022-05-26T06:50:00Z</cp:lastPrinted>
  <dcterms:modified xsi:type="dcterms:W3CDTF">2022-05-31T13:34:58Z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